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Арбитражного суда Нижегородской области от 20.02.2023 по делу N А43-32210/2022</w:t>
              <w:br/>
              <w:t xml:space="preserve">Требование: Об оспаривании Решения ГУ Филиал N9 Нижегородское региональное отделение ФСС РФ.</w:t>
              <w:br/>
              <w:t xml:space="preserve">Решение: Требование удовлетворено в части.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23.06.2025</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АРБИТРАЖНЫЙ СУД НИЖЕГОРОДСКОЙ ОБЛАСТИ</w:t>
      </w:r>
    </w:p>
    <w:p>
      <w:pPr>
        <w:pStyle w:val="2"/>
        <w:jc w:val="center"/>
      </w:pPr>
      <w:r>
        <w:rPr>
          <w:sz w:val="24"/>
        </w:rPr>
      </w:r>
    </w:p>
    <w:p>
      <w:pPr>
        <w:pStyle w:val="2"/>
        <w:jc w:val="center"/>
      </w:pPr>
      <w:r>
        <w:rPr>
          <w:sz w:val="24"/>
        </w:rPr>
        <w:t xml:space="preserve">Именем Российской Федерации</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20 февраля 2023 г. по делу N А43-32210/2022</w:t>
      </w:r>
    </w:p>
    <w:p>
      <w:pPr>
        <w:pStyle w:val="0"/>
        <w:ind w:firstLine="540"/>
        <w:jc w:val="both"/>
      </w:pPr>
      <w:r>
        <w:rPr>
          <w:sz w:val="24"/>
        </w:rPr>
      </w:r>
    </w:p>
    <w:p>
      <w:pPr>
        <w:pStyle w:val="0"/>
        <w:ind w:firstLine="540"/>
        <w:jc w:val="both"/>
      </w:pPr>
      <w:r>
        <w:rPr>
          <w:sz w:val="24"/>
        </w:rPr>
        <w:t xml:space="preserve">Резолютивная часть решения объявлена 13 февраля 2023 года</w:t>
      </w:r>
    </w:p>
    <w:p>
      <w:pPr>
        <w:pStyle w:val="0"/>
        <w:spacing w:before="240" w:line-rule="auto"/>
        <w:ind w:firstLine="540"/>
        <w:jc w:val="both"/>
      </w:pPr>
      <w:r>
        <w:rPr>
          <w:sz w:val="24"/>
        </w:rPr>
        <w:t xml:space="preserve">Полный текст решения изготовлен 20 февраля 2023 года</w:t>
      </w:r>
    </w:p>
    <w:p>
      <w:pPr>
        <w:pStyle w:val="0"/>
        <w:spacing w:before="240" w:line-rule="auto"/>
        <w:ind w:firstLine="540"/>
        <w:jc w:val="both"/>
      </w:pPr>
      <w:r>
        <w:rPr>
          <w:sz w:val="24"/>
        </w:rPr>
        <w:t xml:space="preserve">Арбитражный суд Нижегородской области в составе судьи Вершининой Екатерины Игоревны (шифр 56-601) при ведении протокола судебного заседания помощником судьи Жуковой А.Д., рассмотрев в открытом судебном заседании дело по заявлению акционерного общества "ГосНИИмаш", г. Дзержинск (ОГРН 1085249000650, ИНН 5249093130) о признании частично недействительным Решения N 52092250001186 от 19.08.2022 о привлечении страхователя к ответственности за совершение нарушения законодательства РФ об обязательном социальном страховании от несчастных случаев на производстве и профессиональных заболеваний, принятого Филиалом N 9 ГУ-НРО ФСС РФ,</w:t>
      </w:r>
    </w:p>
    <w:p>
      <w:pPr>
        <w:pStyle w:val="0"/>
        <w:spacing w:before="240" w:line-rule="auto"/>
        <w:ind w:firstLine="540"/>
        <w:jc w:val="both"/>
      </w:pPr>
      <w:r>
        <w:rPr>
          <w:sz w:val="24"/>
        </w:rPr>
        <w:t xml:space="preserve">при участии представителей сторон:</w:t>
      </w:r>
    </w:p>
    <w:p>
      <w:pPr>
        <w:pStyle w:val="0"/>
        <w:spacing w:before="240" w:line-rule="auto"/>
        <w:ind w:firstLine="540"/>
        <w:jc w:val="both"/>
      </w:pPr>
      <w:r>
        <w:rPr>
          <w:sz w:val="24"/>
        </w:rPr>
        <w:t xml:space="preserve">от заявителя: Андреева С.В. (доверенность от 10.01.2023), Кипяткова И.А. (доверенность от 10.01.2023),</w:t>
      </w:r>
    </w:p>
    <w:p>
      <w:pPr>
        <w:pStyle w:val="0"/>
        <w:spacing w:before="240" w:line-rule="auto"/>
        <w:ind w:firstLine="540"/>
        <w:jc w:val="both"/>
      </w:pPr>
      <w:r>
        <w:rPr>
          <w:sz w:val="24"/>
        </w:rPr>
        <w:t xml:space="preserve">от заинтересованного лица: Максимова И.А. (доверенность от 16.01.2023),</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в Арбитражный суд Нижегородской области обратилось акционерное общество "ГосНИИмаш" (далее - заявитель, Общество) с выше указанным заявлением.</w:t>
      </w:r>
    </w:p>
    <w:p>
      <w:pPr>
        <w:pStyle w:val="0"/>
        <w:spacing w:before="240" w:line-rule="auto"/>
        <w:ind w:firstLine="540"/>
        <w:jc w:val="both"/>
      </w:pPr>
      <w:r>
        <w:rPr>
          <w:sz w:val="24"/>
        </w:rPr>
        <w:t xml:space="preserve">Определением от 26.01.2023 произведена замена заинтересованных лиц (ответчиков) по делу с Государственного учреждения - Нижегородского регионального отделения Фонда социального страхования Российской Федерации (ОГРН 1025203031040, ИНН 5260019884) и Филиала N 9 Государственного учреждения - Нижегородского регионального отделения Фонда социального страхования Российской Федерации на правопреемника Отделение Фонда пенсионного и социального страхования Российской Федерации по Нижегородской области (ОГРН 1025203030500, ИНН 5258012881).</w:t>
      </w:r>
    </w:p>
    <w:p>
      <w:pPr>
        <w:pStyle w:val="0"/>
        <w:spacing w:before="240" w:line-rule="auto"/>
        <w:ind w:firstLine="540"/>
        <w:jc w:val="both"/>
      </w:pPr>
      <w:r>
        <w:rPr>
          <w:sz w:val="24"/>
        </w:rPr>
        <w:t xml:space="preserve">В обоснование заявленного требования общество, ссылаясь на </w:t>
      </w:r>
      <w:hyperlink w:history="0" r:id="rId7" w:tooltip="&quot;Налоговый кодекс Российской Федерации (часть вторая)&quot; от 05.08.2000 N 117-ФЗ (ред. от 29.12.2022) (с изм. и доп., вступ. в силу с 01.02.2023) ------------ Недействующая редакция {КонсультантПлюс}">
        <w:r>
          <w:rPr>
            <w:sz w:val="24"/>
            <w:color w:val="0000ff"/>
          </w:rPr>
          <w:t xml:space="preserve">статью 420</w:t>
        </w:r>
      </w:hyperlink>
      <w:r>
        <w:rPr>
          <w:sz w:val="24"/>
        </w:rPr>
        <w:t xml:space="preserve"> Налогового кодекса РФ, указывает, что компенсацию стоимости обязательного медицинского осмотра следует рассматривать как компенсационную выплату, установленную законом, связанную с выполнением лицом трудовых обязанностей. В связи с чем, полагает неправомерным вывод заинтересованного лица о занижении балы для начисления страховых взносов на обязательное социальное страхование от несчастных случаев на производстве и профессиональных заболеваний в размере 2335 руб., и соответствующих сумм штрафа в размере 574,44 руб., пени в сумме 110,77 руб..</w:t>
      </w:r>
    </w:p>
    <w:p>
      <w:pPr>
        <w:pStyle w:val="0"/>
        <w:spacing w:before="240" w:line-rule="auto"/>
        <w:ind w:firstLine="540"/>
        <w:jc w:val="both"/>
      </w:pPr>
      <w:r>
        <w:rPr>
          <w:sz w:val="24"/>
        </w:rPr>
        <w:t xml:space="preserve">Подробно позиция заявителя изложена в заявлении, дополнениях и поддержана представителями в судебном заседании.</w:t>
      </w:r>
    </w:p>
    <w:p>
      <w:pPr>
        <w:pStyle w:val="0"/>
        <w:spacing w:before="240" w:line-rule="auto"/>
        <w:ind w:firstLine="540"/>
        <w:jc w:val="both"/>
      </w:pPr>
      <w:r>
        <w:rPr>
          <w:sz w:val="24"/>
        </w:rPr>
        <w:t xml:space="preserve">Учреждение не согласно с заявленным требованием, полагая оспариваемое решение законным и обоснованным в полном объеме, вынесенным при наличии оснований, поскольку оплата медицинских осмотров работников за счет собственных средств работников с последующей компенсацией таких расходов работодателем не предусмотрена </w:t>
      </w:r>
      <w:hyperlink w:history="0" r:id="rId8" w:tooltip="&quot;Трудовой кодекс Российской Федерации&quot; от 30.12.2001 N 197-ФЗ (ред. от 19.12.2022) (с изм. и доп., вступ. в силу с 11.01.2023) ------------ Недействующая редакция {КонсультантПлюс}">
        <w:r>
          <w:rPr>
            <w:sz w:val="24"/>
            <w:color w:val="0000ff"/>
          </w:rPr>
          <w:t xml:space="preserve">статьей 220</w:t>
        </w:r>
      </w:hyperlink>
      <w:r>
        <w:rPr>
          <w:sz w:val="24"/>
        </w:rPr>
        <w:t xml:space="preserve"> Трудового кодекса РФ (до 25.02.2022 - </w:t>
      </w:r>
      <w:hyperlink w:history="0" r:id="rId9" w:tooltip="&quot;Трудовой кодекс Российской Федерации&quot; от 30.12.2001 N 197-ФЗ (ред. от 19.12.2022) (с изм. и доп., вступ. в силу с 11.01.2023) ------------ Недействующая редакция {КонсультантПлюс}">
        <w:r>
          <w:rPr>
            <w:sz w:val="24"/>
            <w:color w:val="0000ff"/>
          </w:rPr>
          <w:t xml:space="preserve">статьей 213</w:t>
        </w:r>
      </w:hyperlink>
      <w:r>
        <w:rPr>
          <w:sz w:val="24"/>
        </w:rPr>
        <w:t xml:space="preserve"> Трудового кодекса РФ). Учреждение считает, что спорные выплаты не поименованы в </w:t>
      </w:r>
      <w:hyperlink w:history="0" r:id="rId10" w:tooltip="Федеральный закон от 24.07.1998 N 125-ФЗ (ред. от 21.11.2022) &quot;Об обязательном социальном страховании от несчастных случаев на производстве и профессиональных заболеваний&quot; (с изм. и доп., вступ. в силу с 01.01.2023) ------------ Недействующая редакция {КонсультантПлюс}">
        <w:r>
          <w:rPr>
            <w:sz w:val="24"/>
            <w:color w:val="0000ff"/>
          </w:rPr>
          <w:t xml:space="preserve">статье 20.2</w:t>
        </w:r>
      </w:hyperlink>
      <w:r>
        <w:rPr>
          <w:sz w:val="24"/>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(далее - Закон N 125-ФЗ), предусматривающей суммы, не подлежащие обложению страховыми взносами.</w:t>
      </w:r>
    </w:p>
    <w:p>
      <w:pPr>
        <w:pStyle w:val="0"/>
        <w:spacing w:before="240" w:line-rule="auto"/>
        <w:ind w:firstLine="540"/>
        <w:jc w:val="both"/>
      </w:pPr>
      <w:r>
        <w:rPr>
          <w:sz w:val="24"/>
        </w:rPr>
        <w:t xml:space="preserve">Подробно позиция Учреждения изложена в отзыве, дополнительных пояснениях и поддержана представителем в судебном заседании.</w:t>
      </w:r>
    </w:p>
    <w:p>
      <w:pPr>
        <w:pStyle w:val="0"/>
        <w:spacing w:before="240" w:line-rule="auto"/>
        <w:ind w:firstLine="540"/>
        <w:jc w:val="both"/>
      </w:pPr>
      <w:r>
        <w:rPr>
          <w:sz w:val="24"/>
        </w:rPr>
        <w:t xml:space="preserve">Изучив материалы дела, выслушав довод лиц, участвующих в деле, судом установлены следующие обстоятельства.</w:t>
      </w:r>
    </w:p>
    <w:p>
      <w:pPr>
        <w:pStyle w:val="0"/>
        <w:spacing w:before="240" w:line-rule="auto"/>
        <w:ind w:firstLine="540"/>
        <w:jc w:val="both"/>
      </w:pPr>
      <w:r>
        <w:rPr>
          <w:sz w:val="24"/>
        </w:rPr>
        <w:t xml:space="preserve">Как следует из материалов дела, Фонд провел выездную проверку Общества на предмет правильности исчисления, полноты и своевременности уплаты (перечисления) страховых взносов на обязательное социальное страхование на обязательное социальное страхование от несчастных случаев на производстве и профессиональных заболеваний, за период с 01.01.2019 по 31.12.2021.</w:t>
      </w:r>
    </w:p>
    <w:p>
      <w:pPr>
        <w:pStyle w:val="0"/>
        <w:spacing w:before="240" w:line-rule="auto"/>
        <w:ind w:firstLine="540"/>
        <w:jc w:val="both"/>
      </w:pPr>
      <w:r>
        <w:rPr>
          <w:sz w:val="24"/>
        </w:rPr>
        <w:t xml:space="preserve">По результатам проверки отчетности Фондом составлен акт от 14.07.2022 N 52092250001184, в соответствии с которым обществом в базу для начисления страховых взносов на обязательное социальное страхование от несчастных случаев на производстве и профессиональных заболеваний не были включены выплаты, в том числе, по оплате медицинских осмотров работникам в сумме 122 870 руб.: за 2019 год - 66 230 руб., за 2020 год - 6750 руб., за 2021 год - 49890 руб.</w:t>
      </w:r>
    </w:p>
    <w:p>
      <w:pPr>
        <w:pStyle w:val="0"/>
        <w:spacing w:before="240" w:line-rule="auto"/>
        <w:ind w:firstLine="540"/>
        <w:jc w:val="both"/>
      </w:pPr>
      <w:r>
        <w:rPr>
          <w:sz w:val="24"/>
        </w:rPr>
        <w:t xml:space="preserve">По результатам рассмотрения акта от 14.07.2022 N 52092250001184 Фондом 19.08.2022 принято решение N 52092250001186 о привлечении страхователя к ответственности за совершение нарушения законодательства РФ об обязательном социальном страховании от несчастных случаев на производстве и профессиональных заболеваний по </w:t>
      </w:r>
      <w:hyperlink w:history="0" r:id="rId11" w:tooltip="Федеральный закон от 24.07.1998 N 125-ФЗ (ред. от 21.11.2022) &quot;Об обязательном социальном страховании от несчастных случаев на производстве и профессиональных заболеваний&quot; (с изм. и доп., вступ. в силу с 01.01.2023) ------------ Недействующая редакция {КонсультантПлюс}">
        <w:r>
          <w:rPr>
            <w:sz w:val="24"/>
            <w:color w:val="0000ff"/>
          </w:rPr>
          <w:t xml:space="preserve">статье 26.29</w:t>
        </w:r>
      </w:hyperlink>
      <w:r>
        <w:rPr>
          <w:sz w:val="24"/>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в виде штрафа в размере 645 руб. 34 коп., доначислены страховые взносы в сумме 2689 руб. 52 коп. и пени в сумме 132 руб. 14 коп.</w:t>
      </w:r>
    </w:p>
    <w:p>
      <w:pPr>
        <w:pStyle w:val="0"/>
        <w:spacing w:before="240" w:line-rule="auto"/>
        <w:ind w:firstLine="540"/>
        <w:jc w:val="both"/>
      </w:pPr>
      <w:r>
        <w:rPr>
          <w:sz w:val="24"/>
        </w:rPr>
        <w:t xml:space="preserve">Полагая, что решение Фонда нарушает его права и законные интересы в части доначисления страховых взносов в сумме 2335 руб., штрафа в сумме 574,44 руб., пени в сумме 110,77 руб., общество обратилось в арбитражный суд с рассматриваемым заявлением.</w:t>
      </w:r>
    </w:p>
    <w:p>
      <w:pPr>
        <w:pStyle w:val="0"/>
        <w:spacing w:before="240" w:line-rule="auto"/>
        <w:ind w:firstLine="540"/>
        <w:jc w:val="both"/>
      </w:pPr>
      <w:r>
        <w:rPr>
          <w:sz w:val="24"/>
        </w:rPr>
        <w:t xml:space="preserve">В соответствии с </w:t>
      </w:r>
      <w:hyperlink w:history="0" r:id="rId12"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частью 1 статьи 198</w:t>
        </w:r>
      </w:hyperlink>
      <w:r>
        <w:rPr>
          <w:sz w:val="24"/>
        </w:rPr>
        <w:t xml:space="preserve"> Арбитражного процессуального кодекса Российской Федерации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государственных органов, органов местного самоуправления, иных органов,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pPr>
        <w:pStyle w:val="0"/>
        <w:spacing w:before="240" w:line-rule="auto"/>
        <w:ind w:firstLine="540"/>
        <w:jc w:val="both"/>
      </w:pPr>
      <w:r>
        <w:rPr>
          <w:sz w:val="24"/>
        </w:rPr>
        <w:t xml:space="preserve">По смыслу приведенной нормы, необходимым условием для признания ненормативного правового акта, действий (бездействия) недействительными является одновременно несоответствие оспариваемого акта, действия (бездействия) закону или иному нормативному акту и нарушение прав и законных интересов организации в сфере предпринимательской и иной экономической деятельности.</w:t>
      </w:r>
    </w:p>
    <w:p>
      <w:pPr>
        <w:pStyle w:val="0"/>
        <w:spacing w:before="240" w:line-rule="auto"/>
        <w:ind w:firstLine="540"/>
        <w:jc w:val="both"/>
      </w:pPr>
      <w:hyperlink w:history="0" r:id="rId13"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Пунктом 4 статьи 200</w:t>
        </w:r>
      </w:hyperlink>
      <w:r>
        <w:rPr>
          <w:sz w:val="24"/>
        </w:rPr>
        <w:t xml:space="preserve"> АПК РФ установлено, что при рассмотрении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арбитражный суд в судебном заседании осуществляет проверку оспариваемого акта или его отдельных положений, оспариваемых решений и действий (бездействия) и устанавливает их соответствие закону или иному нормативному правовому акту, устанавливает наличие полномочий у органа или лица, которые приняли оспариваемый акт, решение или совершили оспариваемые действия (бездействие), а также устанавливает, нарушают ли оспариваемый акт, решение и действия (бездействие) права и законные интересы заявителя в сфере предпринимательской и иной экономической деятельности.</w:t>
      </w:r>
    </w:p>
    <w:p>
      <w:pPr>
        <w:pStyle w:val="0"/>
        <w:spacing w:before="240" w:line-rule="auto"/>
        <w:ind w:firstLine="540"/>
        <w:jc w:val="both"/>
      </w:pPr>
      <w:r>
        <w:rPr>
          <w:sz w:val="24"/>
        </w:rPr>
        <w:t xml:space="preserve">Таким образом, для признания ненормативного акта недействительным, решения и действия (бездействия) незаконными необходимо наличие одновременно двух условий: несоответствие их закону или иному нормативному правовому акту и нарушение прав и законных интересов заявителя в сфере предпринимательской или иной экономической деятельности.</w:t>
      </w:r>
    </w:p>
    <w:p>
      <w:pPr>
        <w:pStyle w:val="0"/>
        <w:spacing w:before="240" w:line-rule="auto"/>
        <w:ind w:firstLine="540"/>
        <w:jc w:val="both"/>
      </w:pPr>
      <w:r>
        <w:rPr>
          <w:sz w:val="24"/>
        </w:rPr>
        <w:t xml:space="preserve">Согласно </w:t>
      </w:r>
      <w:hyperlink w:history="0" r:id="rId14" w:tooltip="&quot;Трудовой кодекс Российской Федерации&quot; от 30.12.2001 N 197-ФЗ (ред. от 19.12.2022) (с изм. и доп., вступ. в силу с 11.01.2023) ------------ Недействующая редакция {КонсультантПлюс}">
        <w:r>
          <w:rPr>
            <w:sz w:val="24"/>
            <w:color w:val="0000ff"/>
          </w:rPr>
          <w:t xml:space="preserve">статье 213</w:t>
        </w:r>
      </w:hyperlink>
      <w:r>
        <w:rPr>
          <w:sz w:val="24"/>
        </w:rPr>
        <w:t xml:space="preserve"> Трудового кодекса РФ (в редакции, действующей до 25.02.2022) для отдельных категорий работников, занятых на тяжелых работах и на работах с вредными и (или) опасными условиями труда, а также на работах, связанных с движением транспорта, прохождение периодических медицинских осмотров (обследований) является обязательным. Целью таких мероприятий является определение пригодности данных работников для выполнения поручаемой работы и предупреждения профессиональных заболеваний.</w:t>
      </w:r>
    </w:p>
    <w:p>
      <w:pPr>
        <w:pStyle w:val="0"/>
        <w:spacing w:before="240" w:line-rule="auto"/>
        <w:ind w:firstLine="540"/>
        <w:jc w:val="both"/>
      </w:pPr>
      <w:r>
        <w:rPr>
          <w:sz w:val="24"/>
        </w:rPr>
        <w:t xml:space="preserve">При этом медицинские осмотры (обследования) осуществляются за счет средств работодателя (часть 7 статьи 213 ТК РФ), а в течение времени, затраченного работниками на прохождение медицинских обследований, за ними сохраняется средний заработок (статья 185 ТК РФ).</w:t>
      </w:r>
    </w:p>
    <w:p>
      <w:pPr>
        <w:pStyle w:val="0"/>
        <w:spacing w:before="240" w:line-rule="auto"/>
        <w:ind w:firstLine="540"/>
        <w:jc w:val="both"/>
      </w:pPr>
      <w:r>
        <w:rPr>
          <w:sz w:val="24"/>
        </w:rPr>
        <w:t xml:space="preserve">Категории работ, требующих обязательных медицинских осмотров, связаны с особыми условиями труда (вредными, опасными, с повышенными требованиями к гигиене и т.п.) и установлены соответствующими нормативными актами.</w:t>
      </w:r>
    </w:p>
    <w:p>
      <w:pPr>
        <w:pStyle w:val="0"/>
        <w:spacing w:before="240" w:line-rule="auto"/>
        <w:ind w:firstLine="540"/>
        <w:jc w:val="both"/>
      </w:pPr>
      <w:r>
        <w:rPr>
          <w:sz w:val="24"/>
        </w:rPr>
        <w:t xml:space="preserve">На основании </w:t>
      </w:r>
      <w:hyperlink w:history="0" r:id="rId15" w:tooltip="Приказ Минздравсоцразвития России от 12.04.2011 N 302н (ред. от 18.05.2020) &quot;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quot; (Зарегистрировано в Минюсте России 21. ------------ Утратил силу или отменен {КонсультантПлюс}">
        <w:r>
          <w:rPr>
            <w:sz w:val="24"/>
            <w:color w:val="0000ff"/>
          </w:rPr>
          <w:t xml:space="preserve">приказа</w:t>
        </w:r>
      </w:hyperlink>
      <w:r>
        <w:rPr>
          <w:sz w:val="24"/>
        </w:rPr>
        <w:t xml:space="preserve"> Министерства здравоохранения и социального развития РФ N 302н от 12.04.2011 (действующий до 01.04.2021) утвержден перечень вредных и (или) опасных производственных факторов, при наличии которых проводятся обязательные предварительные и периодические медицинские осмотры и Порядок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pPr>
        <w:pStyle w:val="0"/>
        <w:spacing w:before="240" w:line-rule="auto"/>
        <w:ind w:firstLine="540"/>
        <w:jc w:val="both"/>
      </w:pPr>
      <w:r>
        <w:rPr>
          <w:sz w:val="24"/>
        </w:rPr>
        <w:t xml:space="preserve">Приказом Минздрава России от 28.01.2021 N 29н утвержден </w:t>
      </w:r>
      <w:hyperlink w:history="0" r:id="rId16" w:tooltip="Приказ Минздрава России от 28.01.2021 N 29н (ред. от 01.02.2022) &quo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quot; (Зарегистрировано ------------ Недействующая редакция {КонсультантПлюс}">
        <w:r>
          <w:rPr>
            <w:sz w:val="24"/>
            <w:color w:val="0000ff"/>
          </w:rPr>
          <w:t xml:space="preserve">Порядок</w:t>
        </w:r>
      </w:hyperlink>
      <w:r>
        <w:rPr>
          <w:sz w:val="24"/>
        </w:rPr>
        <w:t xml:space="preserve"> проведения обязательных предварительных и периодических медицинских осмотров работников, предусмотренных </w:t>
      </w:r>
      <w:hyperlink w:history="0" r:id="rId17" w:tooltip="&quot;Трудовой кодекс Российской Федерации&quot; от 30.12.2001 N 197-ФЗ (ред. от 19.12.2022) (с изм. и доп., вступ. в силу с 11.01.2023) ------------ Недействующая редакция {КонсультантПлюс}">
        <w:r>
          <w:rPr>
            <w:sz w:val="24"/>
            <w:color w:val="0000ff"/>
          </w:rPr>
          <w:t xml:space="preserve">частью четвертой статьи 213</w:t>
        </w:r>
      </w:hyperlink>
      <w:r>
        <w:rPr>
          <w:sz w:val="24"/>
        </w:rPr>
        <w:t xml:space="preserve">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pPr>
        <w:pStyle w:val="0"/>
        <w:spacing w:before="240" w:line-rule="auto"/>
        <w:ind w:firstLine="540"/>
        <w:jc w:val="both"/>
      </w:pPr>
      <w:r>
        <w:rPr>
          <w:sz w:val="24"/>
        </w:rPr>
        <w:t xml:space="preserve">Следовательно, поскольку трудовым законодательством РФ обязанность по оплате обязательных медосмотров возложена на работодателя, если работник оплатил прохождение медицинского осмотра за счет собственных денежных средств, такая оплата подлежит компенсации (возмещению) со стороны организации-работодателя.</w:t>
      </w:r>
    </w:p>
    <w:p>
      <w:pPr>
        <w:pStyle w:val="0"/>
        <w:spacing w:before="240" w:line-rule="auto"/>
        <w:ind w:firstLine="540"/>
        <w:jc w:val="both"/>
      </w:pPr>
      <w:r>
        <w:rPr>
          <w:sz w:val="24"/>
        </w:rPr>
        <w:t xml:space="preserve">В соответствии с </w:t>
      </w:r>
      <w:hyperlink w:history="0" r:id="rId18" w:tooltip="Федеральный закон от 24.07.1998 N 125-ФЗ (ред. от 21.11.2022) &quot;Об обязательном социальном страховании от несчастных случаев на производстве и профессиональных заболеваний&quot; (с изм. и доп., вступ. в силу с 01.01.2023) ------------ Недействующая редакция {КонсультантПлюс}">
        <w:r>
          <w:rPr>
            <w:sz w:val="24"/>
            <w:color w:val="0000ff"/>
          </w:rPr>
          <w:t xml:space="preserve">пунктом 1 статьи 20.1</w:t>
        </w:r>
      </w:hyperlink>
      <w:r>
        <w:rPr>
          <w:sz w:val="24"/>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(далее - Закон N 125-ФЗ) объектом обложения страховыми взносами признаются выплаты и иные вознаграждения, начисляемые страхователями в пользу застрахованных в рамках трудовых отношений и гражданско-правовых договоров, предметом которых являются выполнение работ и (или) оказание услуг, договора авторского заказа, если в соответствии с указанными договорами заказчик обязан уплачивать страховщику страховые взносы.</w:t>
      </w:r>
    </w:p>
    <w:p>
      <w:pPr>
        <w:pStyle w:val="0"/>
        <w:spacing w:before="240" w:line-rule="auto"/>
        <w:ind w:firstLine="540"/>
        <w:jc w:val="both"/>
      </w:pPr>
      <w:r>
        <w:rPr>
          <w:sz w:val="24"/>
        </w:rPr>
        <w:t xml:space="preserve">Вместе с тем, статьей 20.2 Закона N 125-ФЗ установлен перечень сумм, не подлежащих обложению страховыми взносами.</w:t>
      </w:r>
    </w:p>
    <w:p>
      <w:pPr>
        <w:pStyle w:val="0"/>
        <w:spacing w:before="240" w:line-rule="auto"/>
        <w:ind w:firstLine="540"/>
        <w:jc w:val="both"/>
      </w:pPr>
      <w:r>
        <w:rPr>
          <w:sz w:val="24"/>
        </w:rPr>
        <w:t xml:space="preserve">В силу </w:t>
      </w:r>
      <w:hyperlink w:history="0" r:id="rId19" w:tooltip="&quot;Трудовой кодекс Российской Федерации&quot; от 30.12.2001 N 197-ФЗ (ред. от 19.12.2022) (с изм. и доп., вступ. в силу с 11.01.2023) ------------ Недействующая редакция {КонсультантПлюс}">
        <w:r>
          <w:rPr>
            <w:sz w:val="24"/>
            <w:color w:val="0000ff"/>
          </w:rPr>
          <w:t xml:space="preserve">статьи 15</w:t>
        </w:r>
      </w:hyperlink>
      <w:r>
        <w:rPr>
          <w:sz w:val="24"/>
        </w:rPr>
        <w:t xml:space="preserve"> Трудового кодекса РФ трудовые отношения - это отношения, основанные на соглашении между работником и работодателем о личном выполнении работником за плату трудовой функции (работы по должности в соответствии со штатным расписанием, профессии, специальности с указанием квалификации; конкретного вида поручаемой работнику работы),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w:t>
      </w:r>
    </w:p>
    <w:p>
      <w:pPr>
        <w:pStyle w:val="0"/>
        <w:spacing w:before="240" w:line-rule="auto"/>
        <w:ind w:firstLine="540"/>
        <w:jc w:val="both"/>
      </w:pPr>
      <w:r>
        <w:rPr>
          <w:sz w:val="24"/>
        </w:rPr>
        <w:t xml:space="preserve">Согласно </w:t>
      </w:r>
      <w:hyperlink w:history="0" r:id="rId20" w:tooltip="&quot;Трудовой кодекс Российской Федерации&quot; от 30.12.2001 N 197-ФЗ (ред. от 19.12.2022) (с изм. и доп., вступ. в силу с 11.01.2023) ------------ Недействующая редакция {КонсультантПлюс}">
        <w:r>
          <w:rPr>
            <w:sz w:val="24"/>
            <w:color w:val="0000ff"/>
          </w:rPr>
          <w:t xml:space="preserve">статье 129</w:t>
        </w:r>
      </w:hyperlink>
      <w:r>
        <w:rPr>
          <w:sz w:val="24"/>
        </w:rPr>
        <w:t xml:space="preserve"> Трудового кодекса РФ заработная плата (оплата труда работника) - это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pPr>
        <w:pStyle w:val="0"/>
        <w:spacing w:before="240" w:line-rule="auto"/>
        <w:ind w:firstLine="540"/>
        <w:jc w:val="both"/>
      </w:pPr>
      <w:r>
        <w:rPr>
          <w:sz w:val="24"/>
        </w:rPr>
        <w:t xml:space="preserve">Объект обложения страховыми взносами, в соответствии с </w:t>
      </w:r>
      <w:hyperlink w:history="0" r:id="rId21" w:tooltip="&quot;Налоговый кодекс Российской Федерации (часть вторая)&quot; от 05.08.2000 N 117-ФЗ (ред. от 29.12.2022) (с изм. и доп., вступ. в силу с 01.02.2023) ------------ Недействующая редакция {КонсультантПлюс}">
        <w:r>
          <w:rPr>
            <w:sz w:val="24"/>
            <w:color w:val="0000ff"/>
          </w:rPr>
          <w:t xml:space="preserve">частью 1 статьи 420</w:t>
        </w:r>
      </w:hyperlink>
      <w:r>
        <w:rPr>
          <w:sz w:val="24"/>
        </w:rPr>
        <w:t xml:space="preserve"> Налогового кодекса РФ для плательщиков, указанных в абзацах втором и третьем подпункта 1 пункта 1 статьи 419 настоящего Кодекса, если иное не предусмотрено настоящей статьей,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 (за исключением вознаграждений, выплачиваемых лицам, указанным в подпункте 2 пункта 1 статьи 419 настоящего Кодекса):</w:t>
      </w:r>
    </w:p>
    <w:p>
      <w:pPr>
        <w:pStyle w:val="0"/>
        <w:spacing w:before="240" w:line-rule="auto"/>
        <w:ind w:firstLine="540"/>
        <w:jc w:val="both"/>
      </w:pPr>
      <w:r>
        <w:rPr>
          <w:sz w:val="24"/>
        </w:rPr>
        <w:t xml:space="preserve">1) в рамках трудовых отношений и по гражданско-правовым договорам, предметом которых являются выполнение работ, оказание услуг;</w:t>
      </w:r>
    </w:p>
    <w:p>
      <w:pPr>
        <w:pStyle w:val="0"/>
        <w:spacing w:before="240" w:line-rule="auto"/>
        <w:ind w:firstLine="540"/>
        <w:jc w:val="both"/>
      </w:pPr>
      <w:r>
        <w:rPr>
          <w:sz w:val="24"/>
        </w:rPr>
        <w:t xml:space="preserve">2) по договорам авторского заказа в пользу авторов произведений;</w:t>
      </w:r>
    </w:p>
    <w:p>
      <w:pPr>
        <w:pStyle w:val="0"/>
        <w:spacing w:before="240" w:line-rule="auto"/>
        <w:ind w:firstLine="540"/>
        <w:jc w:val="both"/>
      </w:pPr>
      <w:r>
        <w:rPr>
          <w:sz w:val="24"/>
        </w:rPr>
        <w:t xml:space="preserve">3) по договорам об отчуждении исключительного права на результаты интеллектуальной деятельности, указанные в </w:t>
      </w:r>
      <w:hyperlink w:history="0" r:id="rId22" w:tooltip="&quot;Гражданский кодекс Российской Федерации (часть четвертая)&quot; от 18.12.2006 N 230-ФЗ (ред. от 05.12.2022) ------------ Недействующая редакция {КонсультантПлюс}">
        <w:r>
          <w:rPr>
            <w:sz w:val="24"/>
            <w:color w:val="0000ff"/>
          </w:rPr>
          <w:t xml:space="preserve">подпунктах 1</w:t>
        </w:r>
      </w:hyperlink>
      <w:r>
        <w:rPr>
          <w:sz w:val="24"/>
        </w:rPr>
        <w:t xml:space="preserve"> - </w:t>
      </w:r>
      <w:hyperlink w:history="0" r:id="rId23" w:tooltip="&quot;Гражданский кодекс Российской Федерации (часть четвертая)&quot; от 18.12.2006 N 230-ФЗ (ред. от 05.12.2022) ------------ Недействующая редакция {КонсультантПлюс}">
        <w:r>
          <w:rPr>
            <w:sz w:val="24"/>
            <w:color w:val="0000ff"/>
          </w:rPr>
          <w:t xml:space="preserve">12 пункта 1 статьи 1225</w:t>
        </w:r>
      </w:hyperlink>
      <w:r>
        <w:rPr>
          <w:sz w:val="24"/>
        </w:rPr>
        <w:t xml:space="preserve"> Гражданского кодекса Российской Федерации, издательским лицензионным договорам, лицензионным договорам о предоставлении права использования результатов интеллектуальной деятельности, указанных в </w:t>
      </w:r>
      <w:hyperlink w:history="0" r:id="rId24" w:tooltip="&quot;Гражданский кодекс Российской Федерации (часть четвертая)&quot; от 18.12.2006 N 230-ФЗ (ред. от 05.12.2022) ------------ Недействующая редакция {КонсультантПлюс}">
        <w:r>
          <w:rPr>
            <w:sz w:val="24"/>
            <w:color w:val="0000ff"/>
          </w:rPr>
          <w:t xml:space="preserve">подпунктах 1</w:t>
        </w:r>
      </w:hyperlink>
      <w:r>
        <w:rPr>
          <w:sz w:val="24"/>
        </w:rPr>
        <w:t xml:space="preserve"> - </w:t>
      </w:r>
      <w:hyperlink w:history="0" r:id="rId25" w:tooltip="&quot;Гражданский кодекс Российской Федерации (часть четвертая)&quot; от 18.12.2006 N 230-ФЗ (ред. от 05.12.2022) ------------ Недействующая редакция {КонсультантПлюс}">
        <w:r>
          <w:rPr>
            <w:sz w:val="24"/>
            <w:color w:val="0000ff"/>
          </w:rPr>
          <w:t xml:space="preserve">12 пункта 1 статьи 1225</w:t>
        </w:r>
      </w:hyperlink>
      <w:r>
        <w:rPr>
          <w:sz w:val="24"/>
        </w:rPr>
        <w:t xml:space="preserve"> Гражданского кодекса Российской Федерации, в том числе вознаграждения, начисляемые организациями по управлению правами на коллективной основе в пользу авторов произведений по договорам, заключенным с пользователями.</w:t>
      </w:r>
    </w:p>
    <w:p>
      <w:pPr>
        <w:pStyle w:val="0"/>
        <w:spacing w:before="240" w:line-rule="auto"/>
        <w:ind w:firstLine="540"/>
        <w:jc w:val="both"/>
      </w:pPr>
      <w:r>
        <w:rPr>
          <w:sz w:val="24"/>
        </w:rPr>
        <w:t xml:space="preserve">В соответствии с </w:t>
      </w:r>
      <w:hyperlink w:history="0" r:id="rId26" w:tooltip="&quot;Налоговый кодекс Российской Федерации (часть вторая)&quot; от 05.08.2000 N 117-ФЗ (ред. от 29.12.2022) (с изм. и доп., вступ. в силу с 01.02.2023) ------------ Недействующая редакция {КонсультантПлюс}">
        <w:r>
          <w:rPr>
            <w:sz w:val="24"/>
            <w:color w:val="0000ff"/>
          </w:rPr>
          <w:t xml:space="preserve">пунктом 5 части 1 статьи 422</w:t>
        </w:r>
      </w:hyperlink>
      <w:r>
        <w:rPr>
          <w:sz w:val="24"/>
        </w:rPr>
        <w:t xml:space="preserve"> Налогового кодекса РФ не подлежат обложению страховыми взносами для плательщиков, указанных в подпункте 1 пункта 1 статьи 419 настоящего Кодекса суммы страховых платежей (взносов) по обязательному страхованию работников, осуществляемому плательщиком в порядке, установленном законодательством Российской Федерации, суммы платежей (взносов) плательщика по договорам добровольного личного страхования работников, заключаемым на срок не менее одного года, предусматривающим оплату страховщиками медицинских расходов этих застрахованных лиц, суммы платежей (взносов) плательщика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предоставленные в соответствии с законодательством Российской Федерации, суммы платежей (взносов) плательщика по договорам добровольного личного страхования работников, заключаемым исключительно на случай наступления смерти застрахованного лица и (или) причинения вреда здоровью застрахованного лица, а также суммы пенсионных взносов плательщика по договорам негосударственного пенсионного обеспечения.</w:t>
      </w:r>
    </w:p>
    <w:p>
      <w:pPr>
        <w:pStyle w:val="0"/>
        <w:spacing w:before="240" w:line-rule="auto"/>
        <w:ind w:firstLine="540"/>
        <w:jc w:val="both"/>
      </w:pPr>
      <w:r>
        <w:rPr>
          <w:sz w:val="24"/>
        </w:rPr>
        <w:t xml:space="preserve">Однако из содержания вышеприведенной нормы не следует, что суммы платежей (взносов) плательщика страховых взносов по договорам на оказание медицинских услуг работникам, заключаемым на срок менее одного года, формируют объект обложения страховыми взносами, дополнительно к установленному в </w:t>
      </w:r>
      <w:hyperlink w:history="0" r:id="rId27" w:tooltip="&quot;Налоговый кодекс Российской Федерации (часть вторая)&quot; от 05.08.2000 N 117-ФЗ (ред. от 29.12.2022) (с изм. и доп., вступ. в силу с 01.02.2023) ------------ Недействующая редакция {КонсультантПлюс}">
        <w:r>
          <w:rPr>
            <w:sz w:val="24"/>
            <w:color w:val="0000ff"/>
          </w:rPr>
          <w:t xml:space="preserve">статье 420</w:t>
        </w:r>
      </w:hyperlink>
      <w:r>
        <w:rPr>
          <w:sz w:val="24"/>
        </w:rPr>
        <w:t xml:space="preserve"> Налогового кодекса РФ.</w:t>
      </w:r>
    </w:p>
    <w:p>
      <w:pPr>
        <w:pStyle w:val="0"/>
        <w:spacing w:before="240" w:line-rule="auto"/>
        <w:ind w:firstLine="540"/>
        <w:jc w:val="both"/>
      </w:pPr>
      <w:r>
        <w:rPr>
          <w:sz w:val="24"/>
        </w:rPr>
        <w:t xml:space="preserve">В соответствии с правовой позицией, изложенной, в том числе, в постановлениях Президиума Высшего Арбитражного Суда Российской Федерации от 14.05.2013 </w:t>
      </w:r>
      <w:hyperlink w:history="0" r:id="rId28" w:tooltip="Постановление Президиума ВАС РФ от 14.05.2013 N 17744/12 по делу N А62-1345/2012 Требование: Об отмене решения пенсионного органа. Обстоятельства: Решением истец привлечен к ответственности, предусмотренной ч. 1 ст. 47 ФЗ от 24.07.2009 N 212-ФЗ; ч. 3 ст. 17 ФЗ от 01.04.1996 N 27-ФЗ. Решение: Требование удовлетворено, поскольку выплаты социального характера, основанные на коллективном договоре, не являются оплатой труда работников и не включаются в базу для начисления страховых взносов; информации о том, что {КонсультантПлюс}">
        <w:r>
          <w:rPr>
            <w:sz w:val="24"/>
            <w:color w:val="0000ff"/>
          </w:rPr>
          <w:t xml:space="preserve">N 17744/12</w:t>
        </w:r>
      </w:hyperlink>
      <w:r>
        <w:rPr>
          <w:sz w:val="24"/>
        </w:rPr>
        <w:t xml:space="preserve">, от 03.12.2013 </w:t>
      </w:r>
      <w:hyperlink w:history="0" r:id="rId29" w:tooltip="Постановление Президиума ВАС РФ от 03.12.2013 N 10905/13 по делу N А71-9175/2012 Требование: О признании недействительным решения в части доначисления страховых взносов. Обстоятельства: Проверкой установлено, что занижена база для начисления страховых взносов на суммы стипендий, что явилось основанием для доначисления страховых взносов. Решение: Требование удовлетворено, поскольку предметом договора не является выполнение трудовой функции либо выполнение работ (услуг), стипендия, выплачиваемая организацией  {КонсультантПлюс}">
        <w:r>
          <w:rPr>
            <w:sz w:val="24"/>
            <w:color w:val="0000ff"/>
          </w:rPr>
          <w:t xml:space="preserve">N 10905/13</w:t>
        </w:r>
      </w:hyperlink>
      <w:r>
        <w:rPr>
          <w:sz w:val="24"/>
        </w:rPr>
        <w:t xml:space="preserve">, от 10.12.2013 </w:t>
      </w:r>
      <w:hyperlink w:history="0" r:id="rId30" w:tooltip="Постановление Президиума ВАС РФ от 10.12.2013 N 11031/13 по делу N А47-339/2013 Требование: О признании частично недействительным решения ФСС РФ. Обстоятельства: По результатам выездной проверки составлен акт и принято решение о привлечении к ответственности за занижение обществом облагаемой базы для начисления страховых взносов в результате невключения денежной компенсации за задержку выплаты заработной платы, выплачиваемой в соответствии с законом. Решение: Требование удовлетворено, так как суммы денежной {КонсультантПлюс}">
        <w:r>
          <w:rPr>
            <w:sz w:val="24"/>
            <w:color w:val="0000ff"/>
          </w:rPr>
          <w:t xml:space="preserve">N 11031/13</w:t>
        </w:r>
      </w:hyperlink>
      <w:r>
        <w:rPr>
          <w:sz w:val="24"/>
        </w:rPr>
        <w:t xml:space="preserve">, в </w:t>
      </w:r>
      <w:hyperlink w:history="0" r:id="rId31" w:tooltip="Определение Судебной коллегии по экономическим спорам Верховного Суда РФ от 04.09.2017 N 303-КГ17-6952 по делу N А51-10641/2016 Требование: О признании недействительным решения в части доначисления страховых взносов, соответствующих им пени, штрафов. Обстоятельства: Заявитель указывает на то, что пенсионным органом была проведена выездная проверка общества, по итогам проверки принято оспариваемое решение, которым доначислена недоимка по страховым взносам, начислены соответствующие пени и штраф в связи с зан {КонсультантПлюс}">
        <w:r>
          <w:rPr>
            <w:sz w:val="24"/>
            <w:color w:val="0000ff"/>
          </w:rPr>
          <w:t xml:space="preserve">Определении</w:t>
        </w:r>
      </w:hyperlink>
      <w:r>
        <w:rPr>
          <w:sz w:val="24"/>
        </w:rPr>
        <w:t xml:space="preserve"> Верховного Суда Российской Федерации от 04.09.2017 N 303-КГ17-6952, сам по себе факт наличия трудовых отношений между работодателем и работником не является основанием для вывода о том, что все выплаты, производимые в пользу последнего, представляют собой оплату его труда.</w:t>
      </w:r>
    </w:p>
    <w:p>
      <w:pPr>
        <w:pStyle w:val="0"/>
        <w:spacing w:before="240" w:line-rule="auto"/>
        <w:ind w:firstLine="540"/>
        <w:jc w:val="both"/>
      </w:pPr>
      <w:r>
        <w:rPr>
          <w:sz w:val="24"/>
        </w:rPr>
        <w:t xml:space="preserve">Согласно </w:t>
      </w:r>
      <w:hyperlink w:history="0" r:id="rId32" w:tooltip="Информационное письмо Президиума ВАС РФ от 12.07.2000 N 55 &quot;Обзор практики разрешения арбитражными судами споров, связанных с уплатой страховых взносов в Пенсионный фонд Российской Федерации&quot; {КонсультантПлюс}">
        <w:r>
          <w:rPr>
            <w:sz w:val="24"/>
            <w:color w:val="0000ff"/>
          </w:rPr>
          <w:t xml:space="preserve">пункту 2</w:t>
        </w:r>
      </w:hyperlink>
      <w:r>
        <w:rPr>
          <w:sz w:val="24"/>
        </w:rPr>
        <w:t xml:space="preserve"> Информационного письма Президиума Высшего Арбитражного Суда Российской Федерации от 12.07.2000 N 55 "Обзор практики разрешения арбитражными судами споров, связанных с уплатой страховых взносов в Пенсионный фонд Российской Федерации", законодательством не установлено, что объектом для исчисления страховых взносов являются любые доходы. Основанием для исчисления страховых взносов являются выплаты, начисленные работнику за определенный трудовой результат (исполнение служебных обязанностей, выполнение работы, оказание услуги).</w:t>
      </w:r>
    </w:p>
    <w:p>
      <w:pPr>
        <w:pStyle w:val="0"/>
        <w:spacing w:before="240" w:line-rule="auto"/>
        <w:ind w:firstLine="540"/>
        <w:jc w:val="both"/>
      </w:pPr>
      <w:r>
        <w:rPr>
          <w:sz w:val="24"/>
        </w:rPr>
        <w:t xml:space="preserve">Следовательно, </w:t>
      </w:r>
      <w:hyperlink w:history="0" r:id="rId33" w:tooltip="&quot;Налоговый кодекс Российской Федерации (часть вторая)&quot; от 05.08.2000 N 117-ФЗ (ред. от 29.12.2022) (с изм. и доп., вступ. в силу с 01.02.2023) ------------ Недействующая редакция {КонсультантПлюс}">
        <w:r>
          <w:rPr>
            <w:sz w:val="24"/>
            <w:color w:val="0000ff"/>
          </w:rPr>
          <w:t xml:space="preserve">статья 422</w:t>
        </w:r>
      </w:hyperlink>
      <w:r>
        <w:rPr>
          <w:sz w:val="24"/>
        </w:rPr>
        <w:t xml:space="preserve"> Налогового кодекса РФ, предусматривающая перечень сумм, не подлежащих обложению страховыми взносами, устанавливает исключения только из тех выплат, которые подлежат обложению страховыми взносами в соответствии со </w:t>
      </w:r>
      <w:hyperlink w:history="0" r:id="rId34" w:tooltip="&quot;Налоговый кодекс Российской Федерации (часть вторая)&quot; от 05.08.2000 N 117-ФЗ (ред. от 29.12.2022) (с изм. и доп., вступ. в силу с 01.02.2023) ------------ Недействующая редакция {КонсультантПлюс}">
        <w:r>
          <w:rPr>
            <w:sz w:val="24"/>
            <w:color w:val="0000ff"/>
          </w:rPr>
          <w:t xml:space="preserve">статьей 420</w:t>
        </w:r>
      </w:hyperlink>
      <w:r>
        <w:rPr>
          <w:sz w:val="24"/>
        </w:rPr>
        <w:t xml:space="preserve"> Налогового кодекса РФ.</w:t>
      </w:r>
    </w:p>
    <w:p>
      <w:pPr>
        <w:pStyle w:val="0"/>
        <w:spacing w:before="240" w:line-rule="auto"/>
        <w:ind w:firstLine="540"/>
        <w:jc w:val="both"/>
      </w:pPr>
      <w:r>
        <w:rPr>
          <w:sz w:val="24"/>
        </w:rPr>
        <w:t xml:space="preserve">Из судебных актов и материалов дела не следует, что осуществлявшиеся предприятием спорные выплаты зависели от квалификации работников, сложности, качества, количества, конкретных условий выполнения самой работы. Соответственно, они не являлись оплатой труда работников (вознаграждением за труд) и не могут быть включены в объект обложения страховыми взносами.</w:t>
      </w:r>
    </w:p>
    <w:p>
      <w:pPr>
        <w:pStyle w:val="0"/>
        <w:spacing w:before="240" w:line-rule="auto"/>
        <w:outlineLvl w:val="1"/>
        <w:ind w:firstLine="540"/>
        <w:jc w:val="both"/>
      </w:pPr>
      <w:r>
        <w:rPr>
          <w:sz w:val="24"/>
        </w:rPr>
        <w:t xml:space="preserve">Сам по себе факт наличия трудовых отношений между работодателем и его работниками не свидетельствует о том, что все выплаты, которые начисляются работникам, представляют собой оплату их труда.</w:t>
      </w:r>
    </w:p>
    <w:p>
      <w:pPr>
        <w:pStyle w:val="0"/>
        <w:spacing w:before="240" w:line-rule="auto"/>
        <w:ind w:firstLine="540"/>
        <w:jc w:val="both"/>
      </w:pPr>
      <w:r>
        <w:rPr>
          <w:sz w:val="24"/>
        </w:rPr>
        <w:t xml:space="preserve">Материалами дела подтверждено, что выплаты производились на основании коллективного договора на 2020-2022 годы. Данным договором в разделе 12 "Охрана труда" предусмотрена обязанность работодателя обеспечивать проведение предварительного (при поступлении на работу) и периодического (в течение трудовой деятельности) медицинских осмотров работников (пункт 12.5).</w:t>
      </w:r>
    </w:p>
    <w:p>
      <w:pPr>
        <w:pStyle w:val="0"/>
        <w:spacing w:before="240" w:line-rule="auto"/>
        <w:ind w:firstLine="540"/>
        <w:jc w:val="both"/>
      </w:pPr>
      <w:r>
        <w:rPr>
          <w:sz w:val="24"/>
        </w:rPr>
        <w:t xml:space="preserve">То обстоятельство, что данную обязанность работодатель выполняет путем возмещения работнику, а не самостоятельно оплачивает медицинские осмотры не меняет правовой природы данных выплат. Законодательный запрет на возмещение работнику медицинских расходов отсутствует. Напротив, действия работодателя по выплате возмещения согласуются с целями и задачами трудового законодательства - создание благоприятных условий труда (ст. 1 ТК РФ).</w:t>
      </w:r>
    </w:p>
    <w:p>
      <w:pPr>
        <w:pStyle w:val="0"/>
        <w:spacing w:before="240" w:line-rule="auto"/>
        <w:ind w:firstLine="540"/>
        <w:jc w:val="both"/>
      </w:pPr>
      <w:r>
        <w:rPr>
          <w:sz w:val="24"/>
        </w:rPr>
        <w:t xml:space="preserve">Работодатель свободен в выборе способа обеспечения профилактических медицинских осмотров (перечисление денежных средств медицинской организации? либо возмещение их работнику).</w:t>
      </w:r>
    </w:p>
    <w:p>
      <w:pPr>
        <w:pStyle w:val="0"/>
        <w:spacing w:before="240" w:line-rule="auto"/>
        <w:ind w:firstLine="540"/>
        <w:jc w:val="both"/>
      </w:pPr>
      <w:r>
        <w:rPr>
          <w:sz w:val="24"/>
        </w:rPr>
        <w:t xml:space="preserve">В отличие от трудового договора, который в соответствии со статьями 15, 16 ТК РФ регулирует именно трудовые отношения, положения коллективного договора регулируют социально-трудовые отношения.</w:t>
      </w:r>
    </w:p>
    <w:p>
      <w:pPr>
        <w:pStyle w:val="0"/>
        <w:spacing w:before="240" w:line-rule="auto"/>
        <w:ind w:firstLine="540"/>
        <w:jc w:val="both"/>
      </w:pPr>
      <w:r>
        <w:rPr>
          <w:sz w:val="24"/>
        </w:rPr>
        <w:t xml:space="preserve">Коллективный договор является локальным нормативным актами в силу </w:t>
      </w:r>
      <w:hyperlink w:history="0" r:id="rId35" w:tooltip="&quot;Трудовой кодекс Российской Федерации&quot; от 30.12.2001 N 197-ФЗ (ред. от 19.12.2022) (с изм. и доп., вступ. в силу с 11.01.2023) ------------ Недействующая редакция {КонсультантПлюс}">
        <w:r>
          <w:rPr>
            <w:sz w:val="24"/>
            <w:color w:val="0000ff"/>
          </w:rPr>
          <w:t xml:space="preserve">статьи 8</w:t>
        </w:r>
      </w:hyperlink>
      <w:r>
        <w:rPr>
          <w:sz w:val="24"/>
        </w:rPr>
        <w:t xml:space="preserve"> Трудового кодекса РФ.</w:t>
      </w:r>
    </w:p>
    <w:p>
      <w:pPr>
        <w:pStyle w:val="0"/>
        <w:spacing w:before="240" w:line-rule="auto"/>
        <w:ind w:firstLine="540"/>
        <w:jc w:val="both"/>
      </w:pPr>
      <w:r>
        <w:rPr>
          <w:sz w:val="24"/>
        </w:rPr>
        <w:t xml:space="preserve">Выплаты социального характера, основанные на коллективном договоре, не являющиеся стимулирующими, не зависящие от квалификации работников, сложности, качества, количества, условий выполнения самой работы, не являются оплатой труда работников (вознаграждением за труд), в том числе и потому, что не предусмотрены трудовыми договорами.</w:t>
      </w:r>
    </w:p>
    <w:p>
      <w:pPr>
        <w:pStyle w:val="0"/>
        <w:spacing w:before="240" w:line-rule="auto"/>
        <w:ind w:firstLine="540"/>
        <w:jc w:val="both"/>
      </w:pPr>
      <w:r>
        <w:rPr>
          <w:sz w:val="24"/>
        </w:rPr>
        <w:t xml:space="preserve">Таким образом, компенсация стоимости прохождения медицинского осмотра, не является объектом обложения страховыми взносами и не подлежит включению в базу для начисления страховых взносов.</w:t>
      </w:r>
    </w:p>
    <w:p>
      <w:pPr>
        <w:pStyle w:val="0"/>
        <w:spacing w:before="240" w:line-rule="auto"/>
        <w:ind w:firstLine="540"/>
        <w:jc w:val="both"/>
      </w:pPr>
      <w:r>
        <w:rPr>
          <w:sz w:val="24"/>
        </w:rPr>
        <w:t xml:space="preserve">В связи с чем, неправомерным является вывод Фонда о допущенном обществом нарушении требований статьи 20.1 Закона N 125-ФЗ при расчете базы для начисления страховых взносов на обязательное социальное страхование от несчастных случае на производстве и профессиональных заболеваний, выразившемся в ее занижении на 2334 руб. 53 коп. (122870 руб. оплаты медицинских осмотров работников за 2019-2021 гг. *1,9%).</w:t>
      </w:r>
    </w:p>
    <w:p>
      <w:pPr>
        <w:pStyle w:val="0"/>
        <w:spacing w:before="240" w:line-rule="auto"/>
        <w:ind w:firstLine="540"/>
        <w:jc w:val="both"/>
      </w:pPr>
      <w:r>
        <w:rPr>
          <w:sz w:val="24"/>
        </w:rPr>
        <w:t xml:space="preserve">Следовательно, у Фонда отсутствовали основания для назначения обществу соответствующих пеней в размере 110 руб. 77 коп. и штрафа в размере 466 руб. 91 коп. (2334,53 руб. *20%).</w:t>
      </w:r>
    </w:p>
    <w:p>
      <w:pPr>
        <w:pStyle w:val="0"/>
        <w:spacing w:before="240" w:line-rule="auto"/>
        <w:ind w:firstLine="540"/>
        <w:jc w:val="both"/>
      </w:pPr>
      <w:r>
        <w:rPr>
          <w:sz w:val="24"/>
        </w:rPr>
        <w:t xml:space="preserve">Изложенные обстоятельства свидетельствуют об обоснованности требования заявителя, которое подлежит частичному удовлетворению.</w:t>
      </w:r>
    </w:p>
    <w:p>
      <w:pPr>
        <w:pStyle w:val="0"/>
        <w:spacing w:before="240" w:line-rule="auto"/>
        <w:ind w:firstLine="540"/>
        <w:jc w:val="both"/>
      </w:pPr>
      <w:r>
        <w:rPr>
          <w:sz w:val="24"/>
        </w:rPr>
        <w:t xml:space="preserve">При этом, проверив правильность произведенных обществом и Фондом расчетов, руководствуясь положениями </w:t>
      </w:r>
      <w:hyperlink w:history="0" r:id="rId36" w:tooltip="Федеральный закон от 24.07.1998 N 125-ФЗ (ред. от 21.11.2022) &quot;Об обязательном социальном страховании от несчастных случаев на производстве и профессиональных заболеваний&quot; (с изм. и доп., вступ. в силу с 01.01.2023) ------------ Недействующая редакция {КонсультантПлюс}">
        <w:r>
          <w:rPr>
            <w:sz w:val="24"/>
            <w:color w:val="0000ff"/>
          </w:rPr>
          <w:t xml:space="preserve">пункта 4 части 1</w:t>
        </w:r>
      </w:hyperlink>
      <w:r>
        <w:rPr>
          <w:sz w:val="24"/>
        </w:rPr>
        <w:t xml:space="preserve">, </w:t>
      </w:r>
      <w:hyperlink w:history="0" r:id="rId37" w:tooltip="Федеральный закон от 24.07.1998 N 125-ФЗ (ред. от 21.11.2022) &quot;Об обязательном социальном страховании от несчастных случаев на производстве и профессиональных заболеваний&quot; (с изм. и доп., вступ. в силу с 01.01.2023) ------------ Недействующая редакция {КонсультантПлюс}">
        <w:r>
          <w:rPr>
            <w:sz w:val="24"/>
            <w:color w:val="0000ff"/>
          </w:rPr>
          <w:t xml:space="preserve">частей 5</w:t>
        </w:r>
      </w:hyperlink>
      <w:r>
        <w:rPr>
          <w:sz w:val="24"/>
        </w:rPr>
        <w:t xml:space="preserve"> и </w:t>
      </w:r>
      <w:hyperlink w:history="0" r:id="rId38" w:tooltip="Федеральный закон от 24.07.1998 N 125-ФЗ (ред. от 21.11.2022) &quot;Об обязательном социальном страховании от несчастных случаев на производстве и профессиональных заболеваний&quot; (с изм. и доп., вступ. в силу с 01.01.2023) ------------ Недействующая редакция {КонсультантПлюс}">
        <w:r>
          <w:rPr>
            <w:sz w:val="24"/>
            <w:color w:val="0000ff"/>
          </w:rPr>
          <w:t xml:space="preserve">6 статьи 26.26</w:t>
        </w:r>
      </w:hyperlink>
      <w:r>
        <w:rPr>
          <w:sz w:val="24"/>
        </w:rPr>
        <w:t xml:space="preserve"> Закона N 125-ФЗ, принимая во внимание наличие отягчающего обстоятельства, подтвержденного представленной Фондом копией решения от 18.11.2019, а также возможность применения в качестве обстоятельств, смягчающих ответственность за совершение правонарушения, несение обществом социальных обязательств перед работниками, представление документов в ходе проведения проверки, суд приходит к выводу о наличии оснований для снижения размера назначенного штрафа до 71 руб., что составляет половину от 142 руб. ((2689,52 руб.-2334,53 руб.)*20% = 71 руб.; 71 руб. *2 = 142 руб.).</w:t>
      </w:r>
    </w:p>
    <w:p>
      <w:pPr>
        <w:pStyle w:val="0"/>
        <w:spacing w:before="240" w:line-rule="auto"/>
        <w:ind w:firstLine="540"/>
        <w:jc w:val="both"/>
      </w:pPr>
      <w:r>
        <w:rPr>
          <w:sz w:val="24"/>
        </w:rPr>
        <w:t xml:space="preserve">При изложенных обстоятельствах, суд находит решение Фонда о привлечении страхователя к ответственности за совершение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N 52092250001186 от 19.08.2022 в части в части доначисления страховых взносов на обязательное социальное страхование от несчастных случаев на производстве и профессиональных заболеваний в размере 2334 руб. 53 коп., в части штрафных санкций в размере 574 руб. 44 коп., в части пени в размере 110 руб. 77 коп., не соответствующим нормам действующего законодательства и нарушающим права и законные интересы Общества, что в соответствии с </w:t>
      </w:r>
      <w:hyperlink w:history="0" r:id="rId39"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частью 2 статьи 201</w:t>
        </w:r>
      </w:hyperlink>
      <w:r>
        <w:rPr>
          <w:sz w:val="24"/>
        </w:rPr>
        <w:t xml:space="preserve"> АПК РФ является основанием для удовлетворения заявленных требований.</w:t>
      </w:r>
    </w:p>
    <w:p>
      <w:pPr>
        <w:pStyle w:val="0"/>
        <w:spacing w:before="240" w:line-rule="auto"/>
        <w:ind w:firstLine="540"/>
        <w:jc w:val="both"/>
      </w:pPr>
      <w:r>
        <w:rPr>
          <w:sz w:val="24"/>
        </w:rPr>
        <w:t xml:space="preserve">Удовлетворяя требование заявителя, руководствуясь требованием </w:t>
      </w:r>
      <w:hyperlink w:history="0" r:id="rId40"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пункта 3 части 4 статьи 201</w:t>
        </w:r>
      </w:hyperlink>
      <w:r>
        <w:rPr>
          <w:sz w:val="24"/>
        </w:rPr>
        <w:t xml:space="preserve"> Арбитражного процессуального кодекса Российской Федерации суд полагает необходимым обязать Отделение Фонда пенсионного и социального страхования Российской Федерации по Нижегородской области устранить нарушение прав и законных интересов заявителя.</w:t>
      </w:r>
    </w:p>
    <w:p>
      <w:pPr>
        <w:pStyle w:val="0"/>
        <w:spacing w:before="240" w:line-rule="auto"/>
        <w:ind w:firstLine="540"/>
        <w:jc w:val="both"/>
      </w:pPr>
      <w:r>
        <w:rPr>
          <w:sz w:val="24"/>
        </w:rPr>
        <w:t xml:space="preserve">Согласно </w:t>
      </w:r>
      <w:hyperlink w:history="0" r:id="rId41"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статье 110</w:t>
        </w:r>
      </w:hyperlink>
      <w:r>
        <w:rPr>
          <w:sz w:val="24"/>
        </w:rPr>
        <w:t xml:space="preserve"> Арбитражного процессуального кодекса Российской Федерации расходы по оплате государственной пошлины в размере 3000 рублей относятся на ответчика и подлежат взысканию с ответчика в пользу заявителя.</w:t>
      </w:r>
    </w:p>
    <w:p>
      <w:pPr>
        <w:pStyle w:val="0"/>
        <w:spacing w:before="240" w:line-rule="auto"/>
        <w:ind w:firstLine="540"/>
        <w:jc w:val="both"/>
      </w:pPr>
      <w:r>
        <w:rPr>
          <w:sz w:val="24"/>
        </w:rPr>
        <w:t xml:space="preserve">Руководствуясь </w:t>
      </w:r>
      <w:hyperlink w:history="0" r:id="rId42"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статьями 110</w:t>
        </w:r>
      </w:hyperlink>
      <w:r>
        <w:rPr>
          <w:sz w:val="24"/>
        </w:rPr>
        <w:t xml:space="preserve">, </w:t>
      </w:r>
      <w:hyperlink w:history="0" r:id="rId43"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167</w:t>
        </w:r>
      </w:hyperlink>
      <w:r>
        <w:rPr>
          <w:sz w:val="24"/>
        </w:rPr>
        <w:t xml:space="preserve"> - </w:t>
      </w:r>
      <w:hyperlink w:history="0" r:id="rId44"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170</w:t>
        </w:r>
      </w:hyperlink>
      <w:r>
        <w:rPr>
          <w:sz w:val="24"/>
        </w:rPr>
        <w:t xml:space="preserve">, </w:t>
      </w:r>
      <w:hyperlink w:history="0" r:id="rId45"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176</w:t>
        </w:r>
      </w:hyperlink>
      <w:r>
        <w:rPr>
          <w:sz w:val="24"/>
        </w:rPr>
        <w:t xml:space="preserve">, </w:t>
      </w:r>
      <w:hyperlink w:history="0" r:id="rId46"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180</w:t>
        </w:r>
      </w:hyperlink>
      <w:r>
        <w:rPr>
          <w:sz w:val="24"/>
        </w:rPr>
        <w:t xml:space="preserve"> - </w:t>
      </w:r>
      <w:hyperlink w:history="0" r:id="rId47"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182</w:t>
        </w:r>
      </w:hyperlink>
      <w:r>
        <w:rPr>
          <w:sz w:val="24"/>
        </w:rPr>
        <w:t xml:space="preserve">, </w:t>
      </w:r>
      <w:hyperlink w:history="0" r:id="rId48" w:tooltip="&quot;Арбитражный процессуальный кодекс Российской Федерации&quot; от 24.07.2002 N 95-ФЗ (ред. от 29.12.2022, с изм. от 10.01.2023) (с изм. и доп., вступ. в силу с 01.01.2023) ------------ Недействующая редакция {КонсультантПлюс}">
        <w:r>
          <w:rPr>
            <w:sz w:val="24"/>
            <w:color w:val="0000ff"/>
          </w:rPr>
          <w:t xml:space="preserve">201</w:t>
        </w:r>
      </w:hyperlink>
      <w:r>
        <w:rPr>
          <w:sz w:val="24"/>
        </w:rPr>
        <w:t xml:space="preserve"> Арбитражного процессуального кодекса Российской Федерации, арбитражный суд</w:t>
      </w:r>
    </w:p>
    <w:p>
      <w:pPr>
        <w:pStyle w:val="0"/>
        <w:jc w:val="center"/>
      </w:pPr>
      <w:r>
        <w:rPr>
          <w:sz w:val="24"/>
        </w:rPr>
      </w:r>
    </w:p>
    <w:p>
      <w:pPr>
        <w:pStyle w:val="0"/>
        <w:jc w:val="center"/>
      </w:pPr>
      <w:r>
        <w:rPr>
          <w:sz w:val="24"/>
        </w:rPr>
        <w:t xml:space="preserve">решил:</w:t>
      </w:r>
    </w:p>
    <w:p>
      <w:pPr>
        <w:pStyle w:val="0"/>
        <w:jc w:val="center"/>
      </w:pPr>
      <w:r>
        <w:rPr>
          <w:sz w:val="24"/>
        </w:rPr>
      </w:r>
    </w:p>
    <w:p>
      <w:pPr>
        <w:pStyle w:val="0"/>
        <w:ind w:firstLine="540"/>
        <w:jc w:val="both"/>
      </w:pPr>
      <w:r>
        <w:rPr>
          <w:sz w:val="24"/>
        </w:rPr>
        <w:t xml:space="preserve">Заявленное требование акционерного общества "ГосНИИмаш", г. Дзержинск (ОГРН 1085249000650, ИНН 5249093130) удовлетворить частично.</w:t>
      </w:r>
    </w:p>
    <w:p>
      <w:pPr>
        <w:pStyle w:val="0"/>
        <w:spacing w:before="240" w:line-rule="auto"/>
        <w:ind w:firstLine="540"/>
        <w:jc w:val="both"/>
      </w:pPr>
      <w:r>
        <w:rPr>
          <w:sz w:val="24"/>
        </w:rPr>
        <w:t xml:space="preserve">Признать незаконными решения Филиала N 9 Государственного учреждения - Нижегородского регионального отделения Фонда социального страхования Российской Федерации N 52092250001186 от 19.08.2022 о привлечении страхователя к ответственности за совершение нарушения законодательства РФ об обязательном социальном страховании от несчастных случаев на производстве и профессиональных заболеваний в части доначисления страховых взносов на обязательное социальное страхование от несчастных случаев на производстве и профессиональных заболеваний в размере 2334 руб. 53 коп., в части штрафных санкций в размере 574 руб. 44 коп., в части пени в размере 110 руб. 77 коп., снизив размер штрафа до 71 руб., размер пени до 21 руб. 37 коп..</w:t>
      </w:r>
    </w:p>
    <w:p>
      <w:pPr>
        <w:pStyle w:val="0"/>
        <w:spacing w:before="240" w:line-rule="auto"/>
        <w:ind w:firstLine="540"/>
        <w:jc w:val="both"/>
      </w:pPr>
      <w:r>
        <w:rPr>
          <w:sz w:val="24"/>
        </w:rPr>
        <w:t xml:space="preserve">В удовлетворении остальной части заявленного требования заявителю отказать.</w:t>
      </w:r>
    </w:p>
    <w:p>
      <w:pPr>
        <w:pStyle w:val="0"/>
        <w:spacing w:before="240" w:line-rule="auto"/>
        <w:ind w:firstLine="540"/>
        <w:jc w:val="both"/>
      </w:pPr>
      <w:r>
        <w:rPr>
          <w:sz w:val="24"/>
        </w:rPr>
        <w:t xml:space="preserve">Обязать Отделение Фонда пенсионного и социального страхования Российской Федерации по Нижегородской области (ОГРН 1025203030500, ИНН 5258012881) устранить нарушение прав и законных интересов заявителя.</w:t>
      </w:r>
    </w:p>
    <w:p>
      <w:pPr>
        <w:pStyle w:val="0"/>
        <w:spacing w:before="240" w:line-rule="auto"/>
        <w:ind w:firstLine="540"/>
        <w:jc w:val="both"/>
      </w:pPr>
      <w:r>
        <w:rPr>
          <w:sz w:val="24"/>
        </w:rPr>
        <w:t xml:space="preserve">Взыскать с Отделение Фонда пенсионного и социального страхования Российской Федерации по Нижегородской области (ОГРН 1025203030500, ИНН 5258012881) в пользу акционерного общества "ГосНИИмаш", г. Дзержинск (ОГРН 1085249000650, ИНН 5249093130) расходы по уплате государственной пошлины в размере 3000 (трех тысяч) рублей.</w:t>
      </w:r>
    </w:p>
    <w:p>
      <w:pPr>
        <w:pStyle w:val="0"/>
        <w:spacing w:before="240" w:line-rule="auto"/>
        <w:ind w:firstLine="540"/>
        <w:jc w:val="both"/>
      </w:pPr>
      <w:r>
        <w:rPr>
          <w:sz w:val="24"/>
        </w:rPr>
        <w:t xml:space="preserve">Исполнительный лист выдать после вступления настоящего решения суда по ходатайству заявителя.</w:t>
      </w:r>
    </w:p>
    <w:p>
      <w:pPr>
        <w:pStyle w:val="0"/>
        <w:spacing w:before="240" w:line-rule="auto"/>
        <w:ind w:firstLine="540"/>
        <w:jc w:val="both"/>
      </w:pPr>
      <w:r>
        <w:rPr>
          <w:sz w:val="24"/>
        </w:rPr>
        <w:t xml:space="preserve">Настоящее решение вступает в законную силу по истечении одного месяца со дня принятия и может быть обжаловано в Первый арбитражный апелляционный суд через Арбитражный суд Нижегородской области в месячный срок со дня принятия решения.</w:t>
      </w:r>
    </w:p>
    <w:p>
      <w:pPr>
        <w:pStyle w:val="0"/>
        <w:spacing w:before="240" w:line-rule="auto"/>
        <w:ind w:firstLine="540"/>
        <w:jc w:val="both"/>
      </w:pPr>
      <w:r>
        <w:rPr>
          <w:sz w:val="24"/>
        </w:rPr>
        <w:t xml:space="preserve">Текст решения будет направлен участникам процесса посредством его размещения на официальном сайте арбитражного суда в информационно-телекоммуникационной сети "Интернет".</w:t>
      </w:r>
    </w:p>
    <w:p>
      <w:pPr>
        <w:pStyle w:val="0"/>
        <w:ind w:firstLine="540"/>
        <w:jc w:val="both"/>
      </w:pPr>
      <w:r>
        <w:rPr>
          <w:sz w:val="24"/>
        </w:rPr>
      </w:r>
    </w:p>
    <w:p>
      <w:pPr>
        <w:pStyle w:val="0"/>
        <w:jc w:val="right"/>
      </w:pPr>
      <w:r>
        <w:rPr>
          <w:sz w:val="24"/>
        </w:rPr>
        <w:t xml:space="preserve">Судья</w:t>
      </w:r>
    </w:p>
    <w:p>
      <w:pPr>
        <w:pStyle w:val="0"/>
        <w:jc w:val="right"/>
      </w:pPr>
      <w:r>
        <w:rPr>
          <w:sz w:val="24"/>
        </w:rPr>
        <w:t xml:space="preserve">Е.И.ВЕРШИНИНА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Арбитражного суда Нижегородской области от 20.02.2023 по делу N А43-32210/2022</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23.06.2025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36870&amp;date=23.06.2025&amp;dst=13391&amp;field=134" TargetMode = "External"/>
	<Relationship Id="rId8" Type="http://schemas.openxmlformats.org/officeDocument/2006/relationships/hyperlink" Target="https://login.consultant.ru/link/?req=doc&amp;base=LAW&amp;n=422429&amp;date=23.06.2025&amp;dst=2754&amp;field=134" TargetMode = "External"/>
	<Relationship Id="rId9" Type="http://schemas.openxmlformats.org/officeDocument/2006/relationships/hyperlink" Target="https://login.consultant.ru/link/?req=doc&amp;base=LAW&amp;n=422429&amp;date=23.06.2025&amp;dst=2617&amp;field=134" TargetMode = "External"/>
	<Relationship Id="rId10" Type="http://schemas.openxmlformats.org/officeDocument/2006/relationships/hyperlink" Target="https://login.consultant.ru/link/?req=doc&amp;base=LAW&amp;n=422115&amp;date=23.06.2025&amp;dst=36&amp;field=134" TargetMode = "External"/>
	<Relationship Id="rId11" Type="http://schemas.openxmlformats.org/officeDocument/2006/relationships/hyperlink" Target="https://login.consultant.ru/link/?req=doc&amp;base=LAW&amp;n=422115&amp;date=23.06.2025&amp;dst=671&amp;field=134" TargetMode = "External"/>
	<Relationship Id="rId12" Type="http://schemas.openxmlformats.org/officeDocument/2006/relationships/hyperlink" Target="https://login.consultant.ru/link/?req=doc&amp;base=LAW&amp;n=422091&amp;date=23.06.2025&amp;dst=370&amp;field=134" TargetMode = "External"/>
	<Relationship Id="rId13" Type="http://schemas.openxmlformats.org/officeDocument/2006/relationships/hyperlink" Target="https://login.consultant.ru/link/?req=doc&amp;base=LAW&amp;n=422091&amp;date=23.06.2025&amp;dst=375&amp;field=134" TargetMode = "External"/>
	<Relationship Id="rId14" Type="http://schemas.openxmlformats.org/officeDocument/2006/relationships/hyperlink" Target="https://login.consultant.ru/link/?req=doc&amp;base=LAW&amp;n=422429&amp;date=23.06.2025&amp;dst=2617&amp;field=134" TargetMode = "External"/>
	<Relationship Id="rId15" Type="http://schemas.openxmlformats.org/officeDocument/2006/relationships/hyperlink" Target="https://login.consultant.ru/link/?req=doc&amp;base=LAW&amp;n=343200&amp;date=23.06.2025" TargetMode = "External"/>
	<Relationship Id="rId16" Type="http://schemas.openxmlformats.org/officeDocument/2006/relationships/hyperlink" Target="https://login.consultant.ru/link/?req=doc&amp;base=LAW&amp;n=409057&amp;date=23.06.2025&amp;dst=100013&amp;field=134" TargetMode = "External"/>
	<Relationship Id="rId17" Type="http://schemas.openxmlformats.org/officeDocument/2006/relationships/hyperlink" Target="https://login.consultant.ru/link/?req=doc&amp;base=LAW&amp;n=422429&amp;date=23.06.2025&amp;dst=2624&amp;field=134" TargetMode = "External"/>
	<Relationship Id="rId18" Type="http://schemas.openxmlformats.org/officeDocument/2006/relationships/hyperlink" Target="https://login.consultant.ru/link/?req=doc&amp;base=LAW&amp;n=422115&amp;date=23.06.2025&amp;dst=205&amp;field=134" TargetMode = "External"/>
	<Relationship Id="rId19" Type="http://schemas.openxmlformats.org/officeDocument/2006/relationships/hyperlink" Target="https://login.consultant.ru/link/?req=doc&amp;base=LAW&amp;n=422429&amp;date=23.06.2025&amp;dst=164&amp;field=134" TargetMode = "External"/>
	<Relationship Id="rId20" Type="http://schemas.openxmlformats.org/officeDocument/2006/relationships/hyperlink" Target="https://login.consultant.ru/link/?req=doc&amp;base=LAW&amp;n=422429&amp;date=23.06.2025&amp;dst=636&amp;field=134" TargetMode = "External"/>
	<Relationship Id="rId21" Type="http://schemas.openxmlformats.org/officeDocument/2006/relationships/hyperlink" Target="https://login.consultant.ru/link/?req=doc&amp;base=LAW&amp;n=436870&amp;date=23.06.2025&amp;dst=13392&amp;field=134" TargetMode = "External"/>
	<Relationship Id="rId22" Type="http://schemas.openxmlformats.org/officeDocument/2006/relationships/hyperlink" Target="https://login.consultant.ru/link/?req=doc&amp;base=LAW&amp;n=433439&amp;date=23.06.2025&amp;dst=100011&amp;field=134" TargetMode = "External"/>
	<Relationship Id="rId23" Type="http://schemas.openxmlformats.org/officeDocument/2006/relationships/hyperlink" Target="https://login.consultant.ru/link/?req=doc&amp;base=LAW&amp;n=433439&amp;date=23.06.2025&amp;dst=100022&amp;field=134" TargetMode = "External"/>
	<Relationship Id="rId24" Type="http://schemas.openxmlformats.org/officeDocument/2006/relationships/hyperlink" Target="https://login.consultant.ru/link/?req=doc&amp;base=LAW&amp;n=433439&amp;date=23.06.2025&amp;dst=100011&amp;field=134" TargetMode = "External"/>
	<Relationship Id="rId25" Type="http://schemas.openxmlformats.org/officeDocument/2006/relationships/hyperlink" Target="https://login.consultant.ru/link/?req=doc&amp;base=LAW&amp;n=433439&amp;date=23.06.2025&amp;dst=100022&amp;field=134" TargetMode = "External"/>
	<Relationship Id="rId26" Type="http://schemas.openxmlformats.org/officeDocument/2006/relationships/hyperlink" Target="https://login.consultant.ru/link/?req=doc&amp;base=LAW&amp;n=436870&amp;date=23.06.2025&amp;dst=21433&amp;field=134" TargetMode = "External"/>
	<Relationship Id="rId27" Type="http://schemas.openxmlformats.org/officeDocument/2006/relationships/hyperlink" Target="https://login.consultant.ru/link/?req=doc&amp;base=LAW&amp;n=436870&amp;date=23.06.2025&amp;dst=13391&amp;field=134" TargetMode = "External"/>
	<Relationship Id="rId28" Type="http://schemas.openxmlformats.org/officeDocument/2006/relationships/hyperlink" Target="https://login.consultant.ru/link/?req=doc&amp;base=ARB&amp;n=346301&amp;date=23.06.2025" TargetMode = "External"/>
	<Relationship Id="rId29" Type="http://schemas.openxmlformats.org/officeDocument/2006/relationships/hyperlink" Target="https://login.consultant.ru/link/?req=doc&amp;base=ARB&amp;n=382999&amp;date=23.06.2025" TargetMode = "External"/>
	<Relationship Id="rId30" Type="http://schemas.openxmlformats.org/officeDocument/2006/relationships/hyperlink" Target="https://login.consultant.ru/link/?req=doc&amp;base=ARB&amp;n=383485&amp;date=23.06.2025" TargetMode = "External"/>
	<Relationship Id="rId31" Type="http://schemas.openxmlformats.org/officeDocument/2006/relationships/hyperlink" Target="https://login.consultant.ru/link/?req=doc&amp;base=ARB&amp;n=511151&amp;date=23.06.2025" TargetMode = "External"/>
	<Relationship Id="rId32" Type="http://schemas.openxmlformats.org/officeDocument/2006/relationships/hyperlink" Target="https://login.consultant.ru/link/?req=doc&amp;base=LAW&amp;n=28086&amp;date=23.06.2025&amp;dst=100020&amp;field=134" TargetMode = "External"/>
	<Relationship Id="rId33" Type="http://schemas.openxmlformats.org/officeDocument/2006/relationships/hyperlink" Target="https://login.consultant.ru/link/?req=doc&amp;base=LAW&amp;n=436870&amp;date=23.06.2025&amp;dst=13430&amp;field=134" TargetMode = "External"/>
	<Relationship Id="rId34" Type="http://schemas.openxmlformats.org/officeDocument/2006/relationships/hyperlink" Target="https://login.consultant.ru/link/?req=doc&amp;base=LAW&amp;n=436870&amp;date=23.06.2025&amp;dst=13391&amp;field=134" TargetMode = "External"/>
	<Relationship Id="rId35" Type="http://schemas.openxmlformats.org/officeDocument/2006/relationships/hyperlink" Target="https://login.consultant.ru/link/?req=doc&amp;base=LAW&amp;n=422429&amp;date=23.06.2025&amp;dst=129&amp;field=134" TargetMode = "External"/>
	<Relationship Id="rId36" Type="http://schemas.openxmlformats.org/officeDocument/2006/relationships/hyperlink" Target="https://login.consultant.ru/link/?req=doc&amp;base=LAW&amp;n=422115&amp;date=23.06.2025&amp;dst=658&amp;field=134" TargetMode = "External"/>
	<Relationship Id="rId37" Type="http://schemas.openxmlformats.org/officeDocument/2006/relationships/hyperlink" Target="https://login.consultant.ru/link/?req=doc&amp;base=LAW&amp;n=422115&amp;date=23.06.2025&amp;dst=662&amp;field=134" TargetMode = "External"/>
	<Relationship Id="rId38" Type="http://schemas.openxmlformats.org/officeDocument/2006/relationships/hyperlink" Target="https://login.consultant.ru/link/?req=doc&amp;base=LAW&amp;n=422115&amp;date=23.06.2025&amp;dst=663&amp;field=134" TargetMode = "External"/>
	<Relationship Id="rId39" Type="http://schemas.openxmlformats.org/officeDocument/2006/relationships/hyperlink" Target="https://login.consultant.ru/link/?req=doc&amp;base=LAW&amp;n=422091&amp;date=23.06.2025&amp;dst=378&amp;field=134" TargetMode = "External"/>
	<Relationship Id="rId40" Type="http://schemas.openxmlformats.org/officeDocument/2006/relationships/hyperlink" Target="https://login.consultant.ru/link/?req=doc&amp;base=LAW&amp;n=422091&amp;date=23.06.2025&amp;dst=101275&amp;field=134" TargetMode = "External"/>
	<Relationship Id="rId41" Type="http://schemas.openxmlformats.org/officeDocument/2006/relationships/hyperlink" Target="https://login.consultant.ru/link/?req=doc&amp;base=LAW&amp;n=422091&amp;date=23.06.2025&amp;dst=100666&amp;field=134" TargetMode = "External"/>
	<Relationship Id="rId42" Type="http://schemas.openxmlformats.org/officeDocument/2006/relationships/hyperlink" Target="https://login.consultant.ru/link/?req=doc&amp;base=LAW&amp;n=422091&amp;date=23.06.2025&amp;dst=100666&amp;field=134" TargetMode = "External"/>
	<Relationship Id="rId43" Type="http://schemas.openxmlformats.org/officeDocument/2006/relationships/hyperlink" Target="https://login.consultant.ru/link/?req=doc&amp;base=LAW&amp;n=422091&amp;date=23.06.2025&amp;dst=101067&amp;field=134" TargetMode = "External"/>
	<Relationship Id="rId44" Type="http://schemas.openxmlformats.org/officeDocument/2006/relationships/hyperlink" Target="https://login.consultant.ru/link/?req=doc&amp;base=LAW&amp;n=422091&amp;date=23.06.2025&amp;dst=101083&amp;field=134" TargetMode = "External"/>
	<Relationship Id="rId45" Type="http://schemas.openxmlformats.org/officeDocument/2006/relationships/hyperlink" Target="https://login.consultant.ru/link/?req=doc&amp;base=LAW&amp;n=422091&amp;date=23.06.2025&amp;dst=101111&amp;field=134" TargetMode = "External"/>
	<Relationship Id="rId46" Type="http://schemas.openxmlformats.org/officeDocument/2006/relationships/hyperlink" Target="https://login.consultant.ru/link/?req=doc&amp;base=LAW&amp;n=422091&amp;date=23.06.2025&amp;dst=988&amp;field=134" TargetMode = "External"/>
	<Relationship Id="rId47" Type="http://schemas.openxmlformats.org/officeDocument/2006/relationships/hyperlink" Target="https://login.consultant.ru/link/?req=doc&amp;base=LAW&amp;n=422091&amp;date=23.06.2025&amp;dst=990&amp;field=134" TargetMode = "External"/>
	<Relationship Id="rId48" Type="http://schemas.openxmlformats.org/officeDocument/2006/relationships/hyperlink" Target="https://login.consultant.ru/link/?req=doc&amp;base=LAW&amp;n=422091&amp;date=23.06.2025&amp;dst=376&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Арбитражного суда Нижегородской области от 20.02.2023 по делу N А43-32210/2022
Требование: Об оспаривании Решения ГУ Филиал N9 Нижегородское региональное отделение ФСС РФ.
Решение: Требование удовлетворено в части.</dc:title>
  <dcterms:created xsi:type="dcterms:W3CDTF">2025-06-23T11:09:02Z</dcterms:created>
</cp:coreProperties>
</file>